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C395E" w14:textId="77777777" w:rsidR="007B59EE" w:rsidRPr="007B59EE" w:rsidRDefault="007B59EE" w:rsidP="007B59EE">
      <w:pPr>
        <w:spacing w:after="0" w:line="240" w:lineRule="auto"/>
        <w:contextualSpacing/>
        <w:rPr>
          <w:rFonts w:ascii="Cambria" w:eastAsia="SimSun" w:hAnsi="Cambria" w:cs="Times New Roman"/>
          <w:spacing w:val="-10"/>
          <w:kern w:val="28"/>
          <w:sz w:val="56"/>
          <w:szCs w:val="56"/>
          <w:lang w:val="en-GB" w:eastAsia="zh-CN"/>
        </w:rPr>
      </w:pPr>
      <w:r w:rsidRPr="007B59EE">
        <w:rPr>
          <w:rFonts w:ascii="Cambria" w:eastAsia="SimSun" w:hAnsi="Cambria" w:cs="Times New Roman"/>
          <w:spacing w:val="-10"/>
          <w:kern w:val="28"/>
          <w:sz w:val="56"/>
          <w:szCs w:val="56"/>
          <w:lang w:val="en-GB" w:eastAsia="zh-CN"/>
        </w:rPr>
        <w:t>Terms of Reference</w:t>
      </w:r>
    </w:p>
    <w:p w14:paraId="0E278F99" w14:textId="77777777" w:rsidR="00285CB4" w:rsidRDefault="00285CB4" w:rsidP="007B59EE">
      <w:pPr>
        <w:keepNext/>
        <w:keepLines/>
        <w:spacing w:before="240" w:after="0" w:line="276" w:lineRule="auto"/>
        <w:jc w:val="both"/>
        <w:outlineLvl w:val="0"/>
        <w:rPr>
          <w:rFonts w:ascii="Cambria" w:eastAsia="SimSun" w:hAnsi="Cambria" w:cs="Times New Roman"/>
          <w:color w:val="3E762A"/>
          <w:sz w:val="32"/>
          <w:szCs w:val="32"/>
          <w:lang w:val="en-GB" w:eastAsia="zh-CN"/>
        </w:rPr>
      </w:pPr>
    </w:p>
    <w:p w14:paraId="6CD189B6" w14:textId="1E286140" w:rsidR="007B59EE" w:rsidRPr="007B59EE" w:rsidRDefault="00065C6A" w:rsidP="007B59EE">
      <w:pPr>
        <w:keepNext/>
        <w:keepLines/>
        <w:spacing w:before="240" w:after="0" w:line="276" w:lineRule="auto"/>
        <w:jc w:val="both"/>
        <w:outlineLvl w:val="0"/>
        <w:rPr>
          <w:rFonts w:ascii="Cambria" w:eastAsia="SimSun" w:hAnsi="Cambria" w:cs="Times New Roman"/>
          <w:color w:val="3E762A"/>
          <w:sz w:val="32"/>
          <w:szCs w:val="32"/>
          <w:lang w:val="en-GB" w:eastAsia="zh-CN"/>
        </w:rPr>
      </w:pPr>
      <w:r>
        <w:rPr>
          <w:rFonts w:ascii="Cambria" w:eastAsia="SimSun" w:hAnsi="Cambria" w:cs="Times New Roman"/>
          <w:color w:val="3E762A"/>
          <w:sz w:val="32"/>
          <w:szCs w:val="32"/>
          <w:lang w:val="en-GB" w:eastAsia="zh-CN"/>
        </w:rPr>
        <w:t xml:space="preserve">Consultant to develop </w:t>
      </w:r>
      <w:r w:rsidR="00B16F2B">
        <w:rPr>
          <w:rFonts w:ascii="Cambria" w:eastAsia="SimSun" w:hAnsi="Cambria" w:cs="Times New Roman"/>
          <w:color w:val="3E762A"/>
          <w:sz w:val="32"/>
          <w:szCs w:val="32"/>
          <w:lang w:val="en-GB" w:eastAsia="zh-CN"/>
        </w:rPr>
        <w:t xml:space="preserve">evaluation guidance </w:t>
      </w:r>
    </w:p>
    <w:p w14:paraId="3D9CFEA9" w14:textId="77777777" w:rsidR="007B59EE" w:rsidRPr="007B59EE" w:rsidRDefault="007B59EE" w:rsidP="007B59EE">
      <w:pPr>
        <w:spacing w:after="200" w:line="276" w:lineRule="auto"/>
        <w:rPr>
          <w:rFonts w:ascii="Calibri" w:eastAsia="SimSun" w:hAnsi="Calibri" w:cs="Arial"/>
          <w:lang w:val="en-GB" w:eastAsia="zh-CN"/>
        </w:rPr>
      </w:pPr>
    </w:p>
    <w:tbl>
      <w:tblPr>
        <w:tblW w:w="10065"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3"/>
        <w:gridCol w:w="7512"/>
      </w:tblGrid>
      <w:tr w:rsidR="007B59EE" w:rsidRPr="007B59EE" w14:paraId="6702F842" w14:textId="77777777" w:rsidTr="00C05638">
        <w:trPr>
          <w:trHeight w:val="300"/>
        </w:trPr>
        <w:tc>
          <w:tcPr>
            <w:tcW w:w="2553" w:type="dxa"/>
            <w:tcBorders>
              <w:top w:val="single" w:sz="6" w:space="0" w:color="auto"/>
              <w:left w:val="single" w:sz="6" w:space="0" w:color="auto"/>
              <w:bottom w:val="single" w:sz="6" w:space="0" w:color="auto"/>
              <w:right w:val="single" w:sz="6" w:space="0" w:color="auto"/>
            </w:tcBorders>
            <w:hideMark/>
          </w:tcPr>
          <w:p w14:paraId="4AE26765" w14:textId="77777777" w:rsidR="007B59EE" w:rsidRPr="007B59EE" w:rsidRDefault="007B59EE" w:rsidP="007B59EE">
            <w:pPr>
              <w:spacing w:after="200" w:line="276" w:lineRule="auto"/>
              <w:rPr>
                <w:rFonts w:ascii="Calibri" w:eastAsia="SimSun" w:hAnsi="Calibri" w:cs="Arial"/>
                <w:lang w:eastAsia="zh-CN"/>
              </w:rPr>
            </w:pPr>
            <w:r w:rsidRPr="007B59EE">
              <w:rPr>
                <w:rFonts w:ascii="Calibri" w:eastAsia="SimSun" w:hAnsi="Calibri" w:cs="Arial"/>
                <w:b/>
                <w:bCs/>
                <w:lang w:val="en-GB" w:eastAsia="zh-CN"/>
              </w:rPr>
              <w:t>Consultancy title:</w:t>
            </w:r>
            <w:r w:rsidRPr="007B59EE">
              <w:rPr>
                <w:rFonts w:ascii="Calibri" w:eastAsia="SimSun" w:hAnsi="Calibri" w:cs="Arial"/>
                <w:lang w:eastAsia="zh-CN"/>
              </w:rPr>
              <w:t> </w:t>
            </w:r>
          </w:p>
        </w:tc>
        <w:tc>
          <w:tcPr>
            <w:tcW w:w="7512" w:type="dxa"/>
            <w:tcBorders>
              <w:top w:val="single" w:sz="6" w:space="0" w:color="auto"/>
              <w:left w:val="single" w:sz="6" w:space="0" w:color="auto"/>
              <w:bottom w:val="single" w:sz="6" w:space="0" w:color="auto"/>
              <w:right w:val="single" w:sz="6" w:space="0" w:color="auto"/>
            </w:tcBorders>
            <w:hideMark/>
          </w:tcPr>
          <w:p w14:paraId="6AA56AE6" w14:textId="25421C1B" w:rsidR="007B59EE" w:rsidRPr="007B59EE" w:rsidRDefault="0038540E" w:rsidP="007B59EE">
            <w:pPr>
              <w:spacing w:after="200" w:line="276" w:lineRule="auto"/>
              <w:rPr>
                <w:rFonts w:ascii="Calibri" w:eastAsia="SimSun" w:hAnsi="Calibri" w:cs="Arial"/>
                <w:lang w:eastAsia="zh-CN"/>
              </w:rPr>
            </w:pPr>
            <w:r>
              <w:rPr>
                <w:rFonts w:ascii="Calibri" w:eastAsia="SimSun" w:hAnsi="Calibri" w:cs="Arial"/>
                <w:lang w:eastAsia="zh-CN"/>
              </w:rPr>
              <w:t xml:space="preserve"> Consu</w:t>
            </w:r>
            <w:r w:rsidR="00A90342">
              <w:rPr>
                <w:rFonts w:ascii="Calibri" w:eastAsia="SimSun" w:hAnsi="Calibri" w:cs="Arial"/>
                <w:lang w:eastAsia="zh-CN"/>
              </w:rPr>
              <w:t>ltant for the development of evaluation guidance</w:t>
            </w:r>
            <w:r w:rsidR="007B59EE" w:rsidRPr="007B59EE">
              <w:rPr>
                <w:rFonts w:ascii="Calibri" w:eastAsia="SimSun" w:hAnsi="Calibri" w:cs="Arial"/>
                <w:lang w:eastAsia="zh-CN"/>
              </w:rPr>
              <w:t> </w:t>
            </w:r>
          </w:p>
        </w:tc>
      </w:tr>
      <w:tr w:rsidR="007B59EE" w:rsidRPr="007B59EE" w14:paraId="5D4B6868" w14:textId="77777777" w:rsidTr="00C05638">
        <w:trPr>
          <w:trHeight w:val="300"/>
        </w:trPr>
        <w:tc>
          <w:tcPr>
            <w:tcW w:w="2553" w:type="dxa"/>
            <w:tcBorders>
              <w:top w:val="single" w:sz="6" w:space="0" w:color="auto"/>
              <w:left w:val="single" w:sz="6" w:space="0" w:color="auto"/>
              <w:bottom w:val="single" w:sz="6" w:space="0" w:color="auto"/>
              <w:right w:val="single" w:sz="6" w:space="0" w:color="auto"/>
            </w:tcBorders>
            <w:hideMark/>
          </w:tcPr>
          <w:p w14:paraId="77FADBBB" w14:textId="77777777" w:rsidR="007B59EE" w:rsidRPr="007B59EE" w:rsidRDefault="007B59EE" w:rsidP="007B59EE">
            <w:pPr>
              <w:spacing w:after="200" w:line="276" w:lineRule="auto"/>
              <w:rPr>
                <w:rFonts w:ascii="Calibri" w:eastAsia="SimSun" w:hAnsi="Calibri" w:cs="Arial"/>
                <w:lang w:eastAsia="zh-CN"/>
              </w:rPr>
            </w:pPr>
            <w:r w:rsidRPr="007B59EE">
              <w:rPr>
                <w:rFonts w:ascii="Calibri" w:eastAsia="SimSun" w:hAnsi="Calibri" w:cs="Arial"/>
                <w:b/>
                <w:bCs/>
                <w:lang w:val="en-GB" w:eastAsia="zh-CN"/>
              </w:rPr>
              <w:t>Reporting to:</w:t>
            </w:r>
            <w:r w:rsidRPr="007B59EE">
              <w:rPr>
                <w:rFonts w:ascii="Calibri" w:eastAsia="SimSun" w:hAnsi="Calibri" w:cs="Arial"/>
                <w:lang w:eastAsia="zh-CN"/>
              </w:rPr>
              <w:t> </w:t>
            </w:r>
          </w:p>
        </w:tc>
        <w:tc>
          <w:tcPr>
            <w:tcW w:w="7512" w:type="dxa"/>
            <w:tcBorders>
              <w:top w:val="single" w:sz="6" w:space="0" w:color="auto"/>
              <w:left w:val="single" w:sz="6" w:space="0" w:color="auto"/>
              <w:bottom w:val="single" w:sz="6" w:space="0" w:color="auto"/>
              <w:right w:val="single" w:sz="6" w:space="0" w:color="auto"/>
            </w:tcBorders>
            <w:hideMark/>
          </w:tcPr>
          <w:p w14:paraId="6DCC9A61" w14:textId="5DD6125C" w:rsidR="007B59EE" w:rsidRPr="007B59EE" w:rsidRDefault="004E2151" w:rsidP="007B59EE">
            <w:pPr>
              <w:spacing w:after="200" w:line="276" w:lineRule="auto"/>
              <w:rPr>
                <w:rFonts w:ascii="Calibri" w:eastAsia="SimSun" w:hAnsi="Calibri" w:cs="Arial"/>
                <w:lang w:eastAsia="zh-CN"/>
              </w:rPr>
            </w:pPr>
            <w:r>
              <w:rPr>
                <w:rFonts w:ascii="Calibri" w:eastAsia="SimSun" w:hAnsi="Calibri" w:cs="Arial"/>
                <w:lang w:val="en-GB" w:eastAsia="zh-CN"/>
              </w:rPr>
              <w:t xml:space="preserve"> </w:t>
            </w:r>
            <w:r w:rsidR="00A90342">
              <w:rPr>
                <w:rFonts w:ascii="Calibri" w:eastAsia="SimSun" w:hAnsi="Calibri" w:cs="Arial"/>
                <w:lang w:val="en-GB" w:eastAsia="zh-CN"/>
              </w:rPr>
              <w:t>Adalei Broers</w:t>
            </w:r>
            <w:r w:rsidR="007B59EE" w:rsidRPr="007B59EE">
              <w:rPr>
                <w:rFonts w:ascii="Calibri" w:eastAsia="SimSun" w:hAnsi="Calibri" w:cs="Arial"/>
                <w:lang w:eastAsia="zh-CN"/>
              </w:rPr>
              <w:t> </w:t>
            </w:r>
          </w:p>
        </w:tc>
      </w:tr>
      <w:tr w:rsidR="007B59EE" w:rsidRPr="007B59EE" w14:paraId="73DCADC0" w14:textId="77777777" w:rsidTr="00C05638">
        <w:trPr>
          <w:trHeight w:val="300"/>
        </w:trPr>
        <w:tc>
          <w:tcPr>
            <w:tcW w:w="2553" w:type="dxa"/>
            <w:tcBorders>
              <w:top w:val="single" w:sz="6" w:space="0" w:color="auto"/>
              <w:left w:val="single" w:sz="6" w:space="0" w:color="auto"/>
              <w:bottom w:val="single" w:sz="6" w:space="0" w:color="auto"/>
              <w:right w:val="single" w:sz="6" w:space="0" w:color="auto"/>
            </w:tcBorders>
            <w:hideMark/>
          </w:tcPr>
          <w:p w14:paraId="30F150A6" w14:textId="77777777" w:rsidR="007B59EE" w:rsidRPr="007B59EE" w:rsidRDefault="007B59EE" w:rsidP="007B59EE">
            <w:pPr>
              <w:spacing w:after="200" w:line="276" w:lineRule="auto"/>
              <w:rPr>
                <w:rFonts w:ascii="Calibri" w:eastAsia="SimSun" w:hAnsi="Calibri" w:cs="Arial"/>
                <w:lang w:eastAsia="zh-CN"/>
              </w:rPr>
            </w:pPr>
            <w:r w:rsidRPr="007B59EE">
              <w:rPr>
                <w:rFonts w:ascii="Calibri" w:eastAsia="SimSun" w:hAnsi="Calibri" w:cs="Arial"/>
                <w:b/>
                <w:bCs/>
                <w:lang w:val="en-GB" w:eastAsia="zh-CN"/>
              </w:rPr>
              <w:t>NPA offices:</w:t>
            </w:r>
            <w:r w:rsidRPr="007B59EE">
              <w:rPr>
                <w:rFonts w:ascii="Calibri" w:eastAsia="SimSun" w:hAnsi="Calibri" w:cs="Arial"/>
                <w:lang w:eastAsia="zh-CN"/>
              </w:rPr>
              <w:t> </w:t>
            </w:r>
          </w:p>
        </w:tc>
        <w:tc>
          <w:tcPr>
            <w:tcW w:w="7512" w:type="dxa"/>
            <w:tcBorders>
              <w:top w:val="single" w:sz="6" w:space="0" w:color="auto"/>
              <w:left w:val="single" w:sz="6" w:space="0" w:color="auto"/>
              <w:bottom w:val="single" w:sz="6" w:space="0" w:color="auto"/>
              <w:right w:val="single" w:sz="6" w:space="0" w:color="auto"/>
            </w:tcBorders>
            <w:hideMark/>
          </w:tcPr>
          <w:p w14:paraId="34AFB53D" w14:textId="77777777" w:rsidR="007B59EE" w:rsidRPr="007B59EE" w:rsidRDefault="007B59EE" w:rsidP="007B59EE">
            <w:pPr>
              <w:spacing w:after="200" w:line="276" w:lineRule="auto"/>
              <w:rPr>
                <w:rFonts w:ascii="Calibri" w:eastAsia="SimSun" w:hAnsi="Calibri" w:cs="Arial"/>
                <w:lang w:eastAsia="zh-CN"/>
              </w:rPr>
            </w:pPr>
            <w:r w:rsidRPr="007B59EE">
              <w:rPr>
                <w:rFonts w:ascii="Calibri" w:eastAsia="SimSun" w:hAnsi="Calibri" w:cs="Arial"/>
                <w:b/>
                <w:bCs/>
                <w:lang w:val="en-GB" w:eastAsia="zh-CN"/>
              </w:rPr>
              <w:t>Head Office: Oslo, Norway</w:t>
            </w:r>
            <w:r w:rsidRPr="007B59EE">
              <w:rPr>
                <w:rFonts w:ascii="Calibri" w:eastAsia="SimSun" w:hAnsi="Calibri" w:cs="Arial"/>
                <w:lang w:eastAsia="zh-CN"/>
              </w:rPr>
              <w:t> </w:t>
            </w:r>
          </w:p>
          <w:p w14:paraId="53C8C332" w14:textId="77777777" w:rsidR="007B59EE" w:rsidRPr="007B59EE" w:rsidRDefault="007B59EE" w:rsidP="007B59EE">
            <w:pPr>
              <w:spacing w:after="200" w:line="276" w:lineRule="auto"/>
              <w:rPr>
                <w:rFonts w:ascii="Calibri" w:eastAsia="SimSun" w:hAnsi="Calibri" w:cs="Arial"/>
                <w:lang w:eastAsia="zh-CN"/>
              </w:rPr>
            </w:pPr>
            <w:r w:rsidRPr="007B59EE">
              <w:rPr>
                <w:rFonts w:ascii="Calibri" w:eastAsia="SimSun" w:hAnsi="Calibri" w:cs="Arial"/>
                <w:b/>
                <w:bCs/>
                <w:lang w:val="en-GB" w:eastAsia="zh-CN"/>
              </w:rPr>
              <w:t>Country and Regional Offices:</w:t>
            </w:r>
            <w:r w:rsidRPr="007B59EE">
              <w:rPr>
                <w:rFonts w:ascii="Calibri" w:eastAsia="SimSun" w:hAnsi="Calibri" w:cs="Arial"/>
                <w:lang w:eastAsia="zh-CN"/>
              </w:rPr>
              <w:t> </w:t>
            </w:r>
          </w:p>
          <w:p w14:paraId="57F52D6E" w14:textId="77777777" w:rsidR="007B59EE" w:rsidRPr="007B59EE" w:rsidRDefault="007B59EE" w:rsidP="007B59EE">
            <w:pPr>
              <w:numPr>
                <w:ilvl w:val="0"/>
                <w:numId w:val="5"/>
              </w:numPr>
              <w:spacing w:after="200" w:line="276" w:lineRule="auto"/>
              <w:rPr>
                <w:rFonts w:ascii="Calibri" w:eastAsia="SimSun" w:hAnsi="Calibri" w:cs="Arial"/>
                <w:lang w:eastAsia="zh-CN"/>
              </w:rPr>
            </w:pPr>
            <w:r w:rsidRPr="007B59EE">
              <w:rPr>
                <w:rFonts w:ascii="Calibri" w:eastAsia="SimSun" w:hAnsi="Calibri" w:cs="Arial"/>
                <w:lang w:val="en-GB" w:eastAsia="zh-CN"/>
              </w:rPr>
              <w:t>Programming in 17 countries across Latin America, Africa, Southeast Asia, MENA, and Ukraine</w:t>
            </w:r>
          </w:p>
        </w:tc>
      </w:tr>
      <w:tr w:rsidR="007B59EE" w:rsidRPr="007B59EE" w14:paraId="02D76AD8" w14:textId="77777777" w:rsidTr="00C05638">
        <w:trPr>
          <w:trHeight w:val="300"/>
        </w:trPr>
        <w:tc>
          <w:tcPr>
            <w:tcW w:w="2553" w:type="dxa"/>
            <w:tcBorders>
              <w:top w:val="single" w:sz="6" w:space="0" w:color="auto"/>
              <w:left w:val="single" w:sz="6" w:space="0" w:color="auto"/>
              <w:bottom w:val="single" w:sz="6" w:space="0" w:color="auto"/>
              <w:right w:val="single" w:sz="6" w:space="0" w:color="auto"/>
            </w:tcBorders>
            <w:hideMark/>
          </w:tcPr>
          <w:p w14:paraId="740281F4" w14:textId="77777777" w:rsidR="007B59EE" w:rsidRPr="007B59EE" w:rsidRDefault="007B59EE" w:rsidP="007B59EE">
            <w:pPr>
              <w:spacing w:after="200" w:line="276" w:lineRule="auto"/>
              <w:rPr>
                <w:rFonts w:ascii="Calibri" w:eastAsia="SimSun" w:hAnsi="Calibri" w:cs="Arial"/>
                <w:lang w:eastAsia="zh-CN"/>
              </w:rPr>
            </w:pPr>
            <w:r w:rsidRPr="007B59EE">
              <w:rPr>
                <w:rFonts w:ascii="Calibri" w:eastAsia="SimSun" w:hAnsi="Calibri" w:cs="Arial"/>
                <w:b/>
                <w:bCs/>
                <w:lang w:val="en-GB" w:eastAsia="zh-CN"/>
              </w:rPr>
              <w:t>Provisional timeframe:</w:t>
            </w:r>
            <w:r w:rsidRPr="007B59EE">
              <w:rPr>
                <w:rFonts w:ascii="Calibri" w:eastAsia="SimSun" w:hAnsi="Calibri" w:cs="Arial"/>
                <w:lang w:eastAsia="zh-CN"/>
              </w:rPr>
              <w:t> </w:t>
            </w:r>
          </w:p>
        </w:tc>
        <w:tc>
          <w:tcPr>
            <w:tcW w:w="7512" w:type="dxa"/>
            <w:tcBorders>
              <w:top w:val="single" w:sz="6" w:space="0" w:color="auto"/>
              <w:left w:val="single" w:sz="6" w:space="0" w:color="auto"/>
              <w:bottom w:val="single" w:sz="6" w:space="0" w:color="auto"/>
              <w:right w:val="single" w:sz="6" w:space="0" w:color="auto"/>
            </w:tcBorders>
            <w:hideMark/>
          </w:tcPr>
          <w:p w14:paraId="1F405A5D" w14:textId="1D566D84" w:rsidR="007B59EE" w:rsidRPr="007B59EE" w:rsidRDefault="007B59EE" w:rsidP="007B59EE">
            <w:pPr>
              <w:spacing w:after="200" w:line="276" w:lineRule="auto"/>
              <w:rPr>
                <w:rFonts w:ascii="Calibri" w:eastAsia="SimSun" w:hAnsi="Calibri" w:cs="Arial"/>
                <w:lang w:eastAsia="zh-CN"/>
              </w:rPr>
            </w:pPr>
            <w:r w:rsidRPr="007B59EE">
              <w:rPr>
                <w:rFonts w:ascii="Calibri" w:eastAsia="SimSun" w:hAnsi="Calibri" w:cs="Arial"/>
                <w:lang w:val="en-GB" w:eastAsia="zh-CN"/>
              </w:rPr>
              <w:t xml:space="preserve"> </w:t>
            </w:r>
            <w:r w:rsidR="00A90342">
              <w:rPr>
                <w:rFonts w:ascii="Calibri" w:eastAsia="SimSun" w:hAnsi="Calibri" w:cs="Arial"/>
                <w:lang w:val="en-GB" w:eastAsia="zh-CN"/>
              </w:rPr>
              <w:t xml:space="preserve">23-31 working days from </w:t>
            </w:r>
            <w:r w:rsidR="00D250ED">
              <w:rPr>
                <w:rFonts w:ascii="Calibri" w:eastAsia="SimSun" w:hAnsi="Calibri" w:cs="Arial"/>
                <w:lang w:val="en-GB" w:eastAsia="zh-CN"/>
              </w:rPr>
              <w:t>November 2025 – February 2026</w:t>
            </w:r>
          </w:p>
        </w:tc>
      </w:tr>
      <w:tr w:rsidR="007B59EE" w:rsidRPr="007B59EE" w14:paraId="3F118F4F" w14:textId="77777777" w:rsidTr="00C05638">
        <w:trPr>
          <w:trHeight w:val="300"/>
        </w:trPr>
        <w:tc>
          <w:tcPr>
            <w:tcW w:w="2553" w:type="dxa"/>
            <w:tcBorders>
              <w:top w:val="single" w:sz="6" w:space="0" w:color="auto"/>
              <w:left w:val="single" w:sz="6" w:space="0" w:color="auto"/>
              <w:bottom w:val="single" w:sz="6" w:space="0" w:color="auto"/>
              <w:right w:val="single" w:sz="6" w:space="0" w:color="auto"/>
            </w:tcBorders>
            <w:hideMark/>
          </w:tcPr>
          <w:p w14:paraId="1D2A97C5" w14:textId="77777777" w:rsidR="007B59EE" w:rsidRPr="007B59EE" w:rsidRDefault="007B59EE" w:rsidP="007B59EE">
            <w:pPr>
              <w:spacing w:after="200" w:line="276" w:lineRule="auto"/>
              <w:rPr>
                <w:rFonts w:ascii="Calibri" w:eastAsia="SimSun" w:hAnsi="Calibri" w:cs="Arial"/>
                <w:lang w:eastAsia="zh-CN"/>
              </w:rPr>
            </w:pPr>
            <w:r w:rsidRPr="007B59EE">
              <w:rPr>
                <w:rFonts w:ascii="Calibri" w:eastAsia="SimSun" w:hAnsi="Calibri" w:cs="Arial"/>
                <w:b/>
                <w:bCs/>
                <w:lang w:val="en-GB" w:eastAsia="zh-CN"/>
              </w:rPr>
              <w:t>Tentative start date:</w:t>
            </w:r>
            <w:r w:rsidRPr="007B59EE">
              <w:rPr>
                <w:rFonts w:ascii="Calibri" w:eastAsia="SimSun" w:hAnsi="Calibri" w:cs="Arial"/>
                <w:lang w:eastAsia="zh-CN"/>
              </w:rPr>
              <w:t> </w:t>
            </w:r>
          </w:p>
        </w:tc>
        <w:tc>
          <w:tcPr>
            <w:tcW w:w="7512" w:type="dxa"/>
            <w:tcBorders>
              <w:top w:val="single" w:sz="6" w:space="0" w:color="auto"/>
              <w:left w:val="single" w:sz="6" w:space="0" w:color="auto"/>
              <w:bottom w:val="single" w:sz="6" w:space="0" w:color="auto"/>
              <w:right w:val="single" w:sz="6" w:space="0" w:color="auto"/>
            </w:tcBorders>
            <w:hideMark/>
          </w:tcPr>
          <w:p w14:paraId="060D15FF" w14:textId="16FB8920" w:rsidR="007B59EE" w:rsidRPr="007B59EE" w:rsidRDefault="007B59EE" w:rsidP="007B59EE">
            <w:pPr>
              <w:spacing w:after="200" w:line="276" w:lineRule="auto"/>
              <w:rPr>
                <w:rFonts w:ascii="Calibri" w:eastAsia="SimSun" w:hAnsi="Calibri" w:cs="Arial"/>
                <w:lang w:eastAsia="zh-CN"/>
              </w:rPr>
            </w:pPr>
            <w:r w:rsidRPr="007B59EE">
              <w:rPr>
                <w:rFonts w:ascii="Calibri" w:eastAsia="SimSun" w:hAnsi="Calibri" w:cs="Arial"/>
                <w:lang w:val="en-GB" w:eastAsia="zh-CN"/>
              </w:rPr>
              <w:t xml:space="preserve"> </w:t>
            </w:r>
            <w:r w:rsidR="00D250ED">
              <w:rPr>
                <w:rFonts w:ascii="Calibri" w:eastAsia="SimSun" w:hAnsi="Calibri" w:cs="Arial"/>
                <w:lang w:val="en-GB" w:eastAsia="zh-CN"/>
              </w:rPr>
              <w:t>November</w:t>
            </w:r>
            <w:r w:rsidR="007B4726">
              <w:rPr>
                <w:rFonts w:ascii="Calibri" w:eastAsia="SimSun" w:hAnsi="Calibri" w:cs="Arial"/>
                <w:lang w:val="en-GB" w:eastAsia="zh-CN"/>
              </w:rPr>
              <w:t>/December</w:t>
            </w:r>
            <w:r w:rsidR="00D250ED">
              <w:rPr>
                <w:rFonts w:ascii="Calibri" w:eastAsia="SimSun" w:hAnsi="Calibri" w:cs="Arial"/>
                <w:lang w:val="en-GB" w:eastAsia="zh-CN"/>
              </w:rPr>
              <w:t xml:space="preserve"> 2025</w:t>
            </w:r>
          </w:p>
        </w:tc>
      </w:tr>
    </w:tbl>
    <w:p w14:paraId="374E5C4A" w14:textId="77777777" w:rsidR="0039203A" w:rsidRDefault="0039203A" w:rsidP="00AA51AE">
      <w:pPr>
        <w:jc w:val="both"/>
      </w:pPr>
    </w:p>
    <w:p w14:paraId="1781C103" w14:textId="12D21991" w:rsidR="009E438A" w:rsidRPr="009E438A" w:rsidRDefault="009E438A" w:rsidP="009E438A">
      <w:pPr>
        <w:keepNext/>
        <w:keepLines/>
        <w:spacing w:before="240" w:after="0" w:line="276" w:lineRule="auto"/>
        <w:jc w:val="both"/>
        <w:outlineLvl w:val="0"/>
        <w:rPr>
          <w:rFonts w:ascii="Cambria" w:eastAsia="SimSun" w:hAnsi="Cambria" w:cs="Times New Roman"/>
          <w:color w:val="3E762A"/>
          <w:sz w:val="32"/>
          <w:szCs w:val="32"/>
          <w:lang w:val="en-GB" w:eastAsia="zh-CN"/>
        </w:rPr>
      </w:pPr>
      <w:r w:rsidRPr="009E438A">
        <w:rPr>
          <w:rFonts w:ascii="Cambria" w:eastAsia="SimSun" w:hAnsi="Cambria" w:cs="Times New Roman"/>
          <w:color w:val="3E762A"/>
          <w:sz w:val="32"/>
          <w:szCs w:val="32"/>
          <w:lang w:val="en-GB" w:eastAsia="zh-CN"/>
        </w:rPr>
        <w:t>Background</w:t>
      </w:r>
    </w:p>
    <w:p w14:paraId="6E7D59E5" w14:textId="4177DA6E" w:rsidR="00981EA5" w:rsidRDefault="00981EA5" w:rsidP="00981EA5">
      <w:pPr>
        <w:jc w:val="both"/>
      </w:pPr>
      <w:r w:rsidRPr="00404165">
        <w:t xml:space="preserve">The Norwegian People’s Aid (NPA) is a non-governmental </w:t>
      </w:r>
      <w:r w:rsidR="008A18DF">
        <w:t xml:space="preserve">organization </w:t>
      </w:r>
      <w:r w:rsidR="00F35375">
        <w:t>f</w:t>
      </w:r>
      <w:r w:rsidR="00F35375" w:rsidRPr="00F35375">
        <w:t>ounded in 1939 as the </w:t>
      </w:r>
      <w:proofErr w:type="spellStart"/>
      <w:r w:rsidR="00F35375" w:rsidRPr="00F35375">
        <w:t>labour</w:t>
      </w:r>
      <w:proofErr w:type="spellEnd"/>
      <w:r w:rsidR="00F35375" w:rsidRPr="00F35375">
        <w:t> movement's humanitarian solidarity </w:t>
      </w:r>
      <w:proofErr w:type="spellStart"/>
      <w:r w:rsidR="008A18DF">
        <w:t>organi</w:t>
      </w:r>
      <w:r w:rsidR="00747B44">
        <w:t>s</w:t>
      </w:r>
      <w:r w:rsidR="008A18DF">
        <w:t>ation</w:t>
      </w:r>
      <w:proofErr w:type="spellEnd"/>
      <w:r w:rsidR="008A18DF">
        <w:t xml:space="preserve">. </w:t>
      </w:r>
      <w:r w:rsidRPr="00404165">
        <w:t xml:space="preserve">NPA supports processes towards democracy and equitable distribution of power through </w:t>
      </w:r>
      <w:proofErr w:type="spellStart"/>
      <w:r w:rsidRPr="00404165">
        <w:t>mobilisation</w:t>
      </w:r>
      <w:proofErr w:type="spellEnd"/>
      <w:r w:rsidRPr="00404165">
        <w:t xml:space="preserve">, popular participation and collective </w:t>
      </w:r>
      <w:proofErr w:type="spellStart"/>
      <w:r w:rsidRPr="00404165">
        <w:t>organisation</w:t>
      </w:r>
      <w:proofErr w:type="spellEnd"/>
      <w:r w:rsidRPr="00404165">
        <w:t xml:space="preserve">. The international strategy affirms civil society as a key pillar for </w:t>
      </w:r>
      <w:r>
        <w:t>democracy and development</w:t>
      </w:r>
      <w:r w:rsidRPr="00404165">
        <w:t>, and views human rights as building blocks for development and redistribution.</w:t>
      </w:r>
    </w:p>
    <w:p w14:paraId="1CFBE2A6" w14:textId="67D65CBD" w:rsidR="0034722C" w:rsidRDefault="00526074" w:rsidP="00AA51AE">
      <w:pPr>
        <w:jc w:val="both"/>
      </w:pPr>
      <w:r>
        <w:t xml:space="preserve">NPA is working to strengthen internal </w:t>
      </w:r>
      <w:r w:rsidR="00E54B75">
        <w:t xml:space="preserve">processes and capacities related to evaluation and learning.  We have identified areas for improvement related to management of external evaluations, as well as technical capacities to undertake internal evaluations and other reflection and evaluative activities. </w:t>
      </w:r>
      <w:r>
        <w:t xml:space="preserve"> </w:t>
      </w:r>
      <w:r w:rsidR="00E54B75">
        <w:t xml:space="preserve">We are seeking a consultant to support us in developing simple, clear and actionable guidance and tools to strengthen internal processes related to evaluation and learning, as well as to conduct </w:t>
      </w:r>
      <w:proofErr w:type="gramStart"/>
      <w:r w:rsidR="00E54B75">
        <w:t>trainings</w:t>
      </w:r>
      <w:proofErr w:type="gramEnd"/>
      <w:r w:rsidR="00E54B75">
        <w:t xml:space="preserve"> on the products developed to ensure they are</w:t>
      </w:r>
      <w:r w:rsidR="00E76C33">
        <w:t xml:space="preserve"> appropriate and</w:t>
      </w:r>
      <w:r w:rsidR="00E54B75">
        <w:t xml:space="preserve"> relevant</w:t>
      </w:r>
      <w:r w:rsidR="00122753">
        <w:t xml:space="preserve"> to different contexts</w:t>
      </w:r>
      <w:r w:rsidR="00E76C33">
        <w:t>,</w:t>
      </w:r>
      <w:r w:rsidR="00E54B75">
        <w:t xml:space="preserve"> and well-understood among NPA colleagues in Head Office and Country Office.</w:t>
      </w:r>
    </w:p>
    <w:p w14:paraId="0A078120" w14:textId="5CF1641E" w:rsidR="0018332F" w:rsidRDefault="0018332F" w:rsidP="00AA51AE">
      <w:pPr>
        <w:jc w:val="both"/>
      </w:pPr>
    </w:p>
    <w:p w14:paraId="42B9DE6F" w14:textId="77777777" w:rsidR="00285CB4" w:rsidRDefault="00285CB4" w:rsidP="00AA51AE">
      <w:pPr>
        <w:jc w:val="both"/>
      </w:pPr>
    </w:p>
    <w:p w14:paraId="126E494C" w14:textId="77777777" w:rsidR="00285CB4" w:rsidRDefault="00285CB4" w:rsidP="00AA51AE">
      <w:pPr>
        <w:jc w:val="both"/>
      </w:pPr>
    </w:p>
    <w:p w14:paraId="31A7AFE5" w14:textId="53E4B3AA" w:rsidR="009E438A" w:rsidRPr="009E438A" w:rsidRDefault="009E438A" w:rsidP="009E438A">
      <w:pPr>
        <w:keepNext/>
        <w:keepLines/>
        <w:spacing w:before="240" w:after="0" w:line="276" w:lineRule="auto"/>
        <w:jc w:val="both"/>
        <w:outlineLvl w:val="0"/>
        <w:rPr>
          <w:rFonts w:ascii="Cambria" w:eastAsia="SimSun" w:hAnsi="Cambria" w:cs="Times New Roman"/>
          <w:color w:val="3E762A"/>
          <w:sz w:val="32"/>
          <w:szCs w:val="32"/>
          <w:lang w:val="en-GB" w:eastAsia="zh-CN"/>
        </w:rPr>
      </w:pPr>
      <w:r>
        <w:rPr>
          <w:rFonts w:ascii="Cambria" w:eastAsia="SimSun" w:hAnsi="Cambria" w:cs="Times New Roman"/>
          <w:color w:val="3E762A"/>
          <w:sz w:val="32"/>
          <w:szCs w:val="32"/>
          <w:lang w:val="en-GB" w:eastAsia="zh-CN"/>
        </w:rPr>
        <w:lastRenderedPageBreak/>
        <w:t>Objectives</w:t>
      </w:r>
    </w:p>
    <w:p w14:paraId="631B39A0" w14:textId="77777777" w:rsidR="00285CB4" w:rsidRDefault="00285CB4" w:rsidP="00AA51AE">
      <w:pPr>
        <w:jc w:val="both"/>
      </w:pPr>
    </w:p>
    <w:p w14:paraId="34E8C07F" w14:textId="2BFEA561" w:rsidR="003F77D1" w:rsidRDefault="00E54B75" w:rsidP="00AA51AE">
      <w:pPr>
        <w:jc w:val="both"/>
      </w:pPr>
      <w:r>
        <w:t>The primary obje</w:t>
      </w:r>
      <w:r w:rsidR="003F77D1">
        <w:t>ctives of this consultancy are:</w:t>
      </w:r>
    </w:p>
    <w:p w14:paraId="442A5A7A" w14:textId="1787477B" w:rsidR="003F77D1" w:rsidRDefault="003F77D1" w:rsidP="00AA51AE">
      <w:pPr>
        <w:pStyle w:val="ListParagraph"/>
        <w:numPr>
          <w:ilvl w:val="0"/>
          <w:numId w:val="4"/>
        </w:numPr>
        <w:jc w:val="both"/>
      </w:pPr>
      <w:r>
        <w:t>Simple and clear guidance and tools exist as a resource to all NPA programme colleagues</w:t>
      </w:r>
      <w:r w:rsidR="00D17E6D">
        <w:t xml:space="preserve"> to support improved evaluation processes and increase use of findings</w:t>
      </w:r>
    </w:p>
    <w:p w14:paraId="7F8D5E9A" w14:textId="4CF37ACB" w:rsidR="00D17E6D" w:rsidRDefault="00D17E6D" w:rsidP="00AA51AE">
      <w:pPr>
        <w:pStyle w:val="ListParagraph"/>
        <w:numPr>
          <w:ilvl w:val="0"/>
          <w:numId w:val="4"/>
        </w:numPr>
        <w:jc w:val="both"/>
      </w:pPr>
      <w:r>
        <w:t>Resources developed speak to a broad array of evaluative activities, and are not limited in scope to external evaluations</w:t>
      </w:r>
    </w:p>
    <w:p w14:paraId="33BA9232" w14:textId="6AA40DC8" w:rsidR="00D17E6D" w:rsidRDefault="00D17E6D" w:rsidP="00AA51AE">
      <w:pPr>
        <w:pStyle w:val="ListParagraph"/>
        <w:numPr>
          <w:ilvl w:val="0"/>
          <w:numId w:val="4"/>
        </w:numPr>
        <w:jc w:val="both"/>
      </w:pPr>
      <w:r>
        <w:t xml:space="preserve">Key NPA stakeholders have a good understanding of resources developed and are confident in their use </w:t>
      </w:r>
    </w:p>
    <w:p w14:paraId="6A1537F0" w14:textId="4B0FDC5C" w:rsidR="0018332F" w:rsidRDefault="0018332F" w:rsidP="00AA51AE">
      <w:pPr>
        <w:jc w:val="both"/>
      </w:pPr>
    </w:p>
    <w:p w14:paraId="080A051A" w14:textId="22281E6B" w:rsidR="0018332F" w:rsidRDefault="0018332F" w:rsidP="00AA51AE">
      <w:pPr>
        <w:jc w:val="both"/>
      </w:pPr>
      <w:r>
        <w:t>Activities:</w:t>
      </w:r>
    </w:p>
    <w:p w14:paraId="7EC023F5" w14:textId="68E273F8" w:rsidR="00AA51AE" w:rsidRDefault="00AA51AE" w:rsidP="00AA51AE">
      <w:pPr>
        <w:jc w:val="both"/>
      </w:pPr>
      <w:r>
        <w:t>The consultant will work closely with the Global MEAL Advisor to elaborate the specific needs and identify the most appropriate approach to addressing needs and to develop a clear and time-bound workplan.</w:t>
      </w:r>
      <w:r w:rsidR="00E76C33">
        <w:t xml:space="preserve"> An illustrative outline of activities is below.</w:t>
      </w:r>
    </w:p>
    <w:tbl>
      <w:tblPr>
        <w:tblStyle w:val="GridTable4-Accent6"/>
        <w:tblW w:w="0" w:type="auto"/>
        <w:jc w:val="center"/>
        <w:tblLook w:val="04A0" w:firstRow="1" w:lastRow="0" w:firstColumn="1" w:lastColumn="0" w:noHBand="0" w:noVBand="1"/>
      </w:tblPr>
      <w:tblGrid>
        <w:gridCol w:w="709"/>
        <w:gridCol w:w="4962"/>
        <w:gridCol w:w="3117"/>
      </w:tblGrid>
      <w:tr w:rsidR="00AA51AE" w14:paraId="4EE06702" w14:textId="77777777" w:rsidTr="0012275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14:paraId="5CA520E8" w14:textId="77777777" w:rsidR="00AA51AE" w:rsidRDefault="00AA51AE" w:rsidP="00AA51AE">
            <w:pPr>
              <w:jc w:val="both"/>
            </w:pPr>
          </w:p>
        </w:tc>
        <w:tc>
          <w:tcPr>
            <w:tcW w:w="4962" w:type="dxa"/>
          </w:tcPr>
          <w:p w14:paraId="45EC563F" w14:textId="7AF72721" w:rsidR="00AA51AE" w:rsidRDefault="00AA51AE" w:rsidP="00AA51AE">
            <w:pPr>
              <w:jc w:val="both"/>
              <w:cnfStyle w:val="100000000000" w:firstRow="1" w:lastRow="0" w:firstColumn="0" w:lastColumn="0" w:oddVBand="0" w:evenVBand="0" w:oddHBand="0" w:evenHBand="0" w:firstRowFirstColumn="0" w:firstRowLastColumn="0" w:lastRowFirstColumn="0" w:lastRowLastColumn="0"/>
            </w:pPr>
            <w:r>
              <w:t xml:space="preserve">Activity </w:t>
            </w:r>
          </w:p>
        </w:tc>
        <w:tc>
          <w:tcPr>
            <w:tcW w:w="3117" w:type="dxa"/>
          </w:tcPr>
          <w:p w14:paraId="16B5934B" w14:textId="20E5B86E" w:rsidR="00AA51AE" w:rsidRDefault="00AA51AE" w:rsidP="00AA51AE">
            <w:pPr>
              <w:jc w:val="both"/>
              <w:cnfStyle w:val="100000000000" w:firstRow="1" w:lastRow="0" w:firstColumn="0" w:lastColumn="0" w:oddVBand="0" w:evenVBand="0" w:oddHBand="0" w:evenHBand="0" w:firstRowFirstColumn="0" w:firstRowLastColumn="0" w:lastRowFirstColumn="0" w:lastRowLastColumn="0"/>
            </w:pPr>
            <w:r>
              <w:t>Timeframe</w:t>
            </w:r>
          </w:p>
        </w:tc>
      </w:tr>
      <w:tr w:rsidR="00AA51AE" w14:paraId="3C92FB02" w14:textId="77777777" w:rsidTr="001227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14:paraId="11DC8B80" w14:textId="0000DE61" w:rsidR="00AA51AE" w:rsidRDefault="00E76C33" w:rsidP="00AA51AE">
            <w:pPr>
              <w:jc w:val="both"/>
            </w:pPr>
            <w:r>
              <w:t>1</w:t>
            </w:r>
          </w:p>
        </w:tc>
        <w:tc>
          <w:tcPr>
            <w:tcW w:w="4962" w:type="dxa"/>
          </w:tcPr>
          <w:p w14:paraId="54E063D2" w14:textId="183E04C2" w:rsidR="00AA51AE" w:rsidRDefault="00AA51AE" w:rsidP="00AA51AE">
            <w:pPr>
              <w:jc w:val="both"/>
              <w:cnfStyle w:val="000000100000" w:firstRow="0" w:lastRow="0" w:firstColumn="0" w:lastColumn="0" w:oddVBand="0" w:evenVBand="0" w:oddHBand="1" w:evenHBand="0" w:firstRowFirstColumn="0" w:firstRowLastColumn="0" w:lastRowFirstColumn="0" w:lastRowLastColumn="0"/>
            </w:pPr>
            <w:r>
              <w:t>Discussions with key stakeholders from Head Office and Country Office, and development of workplan</w:t>
            </w:r>
          </w:p>
        </w:tc>
        <w:tc>
          <w:tcPr>
            <w:tcW w:w="3117" w:type="dxa"/>
          </w:tcPr>
          <w:p w14:paraId="3F626394" w14:textId="3508EFB3" w:rsidR="00AA51AE" w:rsidRDefault="00FF296F" w:rsidP="00AA51AE">
            <w:pPr>
              <w:jc w:val="both"/>
              <w:cnfStyle w:val="000000100000" w:firstRow="0" w:lastRow="0" w:firstColumn="0" w:lastColumn="0" w:oddVBand="0" w:evenVBand="0" w:oddHBand="1" w:evenHBand="0" w:firstRowFirstColumn="0" w:firstRowLastColumn="0" w:lastRowFirstColumn="0" w:lastRowLastColumn="0"/>
            </w:pPr>
            <w:r>
              <w:t>2-4</w:t>
            </w:r>
            <w:r w:rsidR="00AA51AE">
              <w:t xml:space="preserve"> days</w:t>
            </w:r>
          </w:p>
        </w:tc>
      </w:tr>
      <w:tr w:rsidR="00AA51AE" w14:paraId="23810667" w14:textId="77777777" w:rsidTr="00122753">
        <w:trPr>
          <w:jc w:val="center"/>
        </w:trPr>
        <w:tc>
          <w:tcPr>
            <w:cnfStyle w:val="001000000000" w:firstRow="0" w:lastRow="0" w:firstColumn="1" w:lastColumn="0" w:oddVBand="0" w:evenVBand="0" w:oddHBand="0" w:evenHBand="0" w:firstRowFirstColumn="0" w:firstRowLastColumn="0" w:lastRowFirstColumn="0" w:lastRowLastColumn="0"/>
            <w:tcW w:w="709" w:type="dxa"/>
          </w:tcPr>
          <w:p w14:paraId="6DB45830" w14:textId="3C5FD860" w:rsidR="00AA51AE" w:rsidRDefault="00E76C33" w:rsidP="00AA51AE">
            <w:pPr>
              <w:jc w:val="both"/>
            </w:pPr>
            <w:r>
              <w:t>2</w:t>
            </w:r>
          </w:p>
        </w:tc>
        <w:tc>
          <w:tcPr>
            <w:tcW w:w="4962" w:type="dxa"/>
          </w:tcPr>
          <w:p w14:paraId="3AA808D2" w14:textId="1100F729" w:rsidR="00AA51AE" w:rsidRDefault="00E76C33" w:rsidP="00AA51AE">
            <w:pPr>
              <w:jc w:val="both"/>
              <w:cnfStyle w:val="000000000000" w:firstRow="0" w:lastRow="0" w:firstColumn="0" w:lastColumn="0" w:oddVBand="0" w:evenVBand="0" w:oddHBand="0" w:evenHBand="0" w:firstRowFirstColumn="0" w:firstRowLastColumn="0" w:lastRowFirstColumn="0" w:lastRowLastColumn="0"/>
            </w:pPr>
            <w:r>
              <w:t>Development of identified guidance material reviewed and approved by NPA</w:t>
            </w:r>
          </w:p>
        </w:tc>
        <w:tc>
          <w:tcPr>
            <w:tcW w:w="3117" w:type="dxa"/>
          </w:tcPr>
          <w:p w14:paraId="5B6742F8" w14:textId="29272675" w:rsidR="00AA51AE" w:rsidRDefault="00152AD2" w:rsidP="00AA51AE">
            <w:pPr>
              <w:jc w:val="both"/>
              <w:cnfStyle w:val="000000000000" w:firstRow="0" w:lastRow="0" w:firstColumn="0" w:lastColumn="0" w:oddVBand="0" w:evenVBand="0" w:oddHBand="0" w:evenHBand="0" w:firstRowFirstColumn="0" w:firstRowLastColumn="0" w:lastRowFirstColumn="0" w:lastRowLastColumn="0"/>
            </w:pPr>
            <w:r>
              <w:t>10</w:t>
            </w:r>
            <w:r w:rsidR="00E76C33">
              <w:t>-1</w:t>
            </w:r>
            <w:r>
              <w:t>2</w:t>
            </w:r>
            <w:r w:rsidR="00E76C33">
              <w:t xml:space="preserve"> days</w:t>
            </w:r>
          </w:p>
        </w:tc>
      </w:tr>
      <w:tr w:rsidR="00AA51AE" w14:paraId="0D2DD885" w14:textId="77777777" w:rsidTr="001227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14:paraId="27DF5CE2" w14:textId="43FCAA00" w:rsidR="00AA51AE" w:rsidRDefault="00E76C33" w:rsidP="00AA51AE">
            <w:pPr>
              <w:jc w:val="both"/>
            </w:pPr>
            <w:r>
              <w:t>3</w:t>
            </w:r>
          </w:p>
        </w:tc>
        <w:tc>
          <w:tcPr>
            <w:tcW w:w="4962" w:type="dxa"/>
          </w:tcPr>
          <w:p w14:paraId="3EFB1E2C" w14:textId="194FD0B5" w:rsidR="00AA51AE" w:rsidRDefault="00E76C33" w:rsidP="00AA51AE">
            <w:pPr>
              <w:jc w:val="both"/>
              <w:cnfStyle w:val="000000100000" w:firstRow="0" w:lastRow="0" w:firstColumn="0" w:lastColumn="0" w:oddVBand="0" w:evenVBand="0" w:oddHBand="1" w:evenHBand="0" w:firstRowFirstColumn="0" w:firstRowLastColumn="0" w:lastRowFirstColumn="0" w:lastRowLastColumn="0"/>
            </w:pPr>
            <w:r>
              <w:t>Development of tools (complementary to guidance material)</w:t>
            </w:r>
          </w:p>
        </w:tc>
        <w:tc>
          <w:tcPr>
            <w:tcW w:w="3117" w:type="dxa"/>
          </w:tcPr>
          <w:p w14:paraId="42C1502E" w14:textId="0E5DB469" w:rsidR="00AA51AE" w:rsidRDefault="00E76C33" w:rsidP="00AA51AE">
            <w:pPr>
              <w:jc w:val="both"/>
              <w:cnfStyle w:val="000000100000" w:firstRow="0" w:lastRow="0" w:firstColumn="0" w:lastColumn="0" w:oddVBand="0" w:evenVBand="0" w:oddHBand="1" w:evenHBand="0" w:firstRowFirstColumn="0" w:firstRowLastColumn="0" w:lastRowFirstColumn="0" w:lastRowLastColumn="0"/>
            </w:pPr>
            <w:r>
              <w:t>8-10 days</w:t>
            </w:r>
          </w:p>
        </w:tc>
      </w:tr>
      <w:tr w:rsidR="00AA51AE" w14:paraId="12848EE4" w14:textId="77777777" w:rsidTr="00122753">
        <w:trPr>
          <w:jc w:val="center"/>
        </w:trPr>
        <w:tc>
          <w:tcPr>
            <w:cnfStyle w:val="001000000000" w:firstRow="0" w:lastRow="0" w:firstColumn="1" w:lastColumn="0" w:oddVBand="0" w:evenVBand="0" w:oddHBand="0" w:evenHBand="0" w:firstRowFirstColumn="0" w:firstRowLastColumn="0" w:lastRowFirstColumn="0" w:lastRowLastColumn="0"/>
            <w:tcW w:w="709" w:type="dxa"/>
          </w:tcPr>
          <w:p w14:paraId="32D817B2" w14:textId="4F12A26F" w:rsidR="00AA51AE" w:rsidRDefault="00E76C33" w:rsidP="00AA51AE">
            <w:pPr>
              <w:jc w:val="both"/>
            </w:pPr>
            <w:r>
              <w:t>4</w:t>
            </w:r>
          </w:p>
        </w:tc>
        <w:tc>
          <w:tcPr>
            <w:tcW w:w="4962" w:type="dxa"/>
          </w:tcPr>
          <w:p w14:paraId="2711D60A" w14:textId="2E0DBCFC" w:rsidR="00AA51AE" w:rsidRDefault="00E76C33" w:rsidP="00AA51AE">
            <w:pPr>
              <w:jc w:val="both"/>
              <w:cnfStyle w:val="000000000000" w:firstRow="0" w:lastRow="0" w:firstColumn="0" w:lastColumn="0" w:oddVBand="0" w:evenVBand="0" w:oddHBand="0" w:evenHBand="0" w:firstRowFirstColumn="0" w:firstRowLastColumn="0" w:lastRowFirstColumn="0" w:lastRowLastColumn="0"/>
            </w:pPr>
            <w:proofErr w:type="gramStart"/>
            <w:r>
              <w:t>Rollout</w:t>
            </w:r>
            <w:proofErr w:type="gramEnd"/>
            <w:r>
              <w:t xml:space="preserve"> of new resources in </w:t>
            </w:r>
            <w:r w:rsidR="00F95733">
              <w:t>2-3</w:t>
            </w:r>
            <w:r>
              <w:t xml:space="preserve"> workshops (workshop design and implementation)</w:t>
            </w:r>
          </w:p>
        </w:tc>
        <w:tc>
          <w:tcPr>
            <w:tcW w:w="3117" w:type="dxa"/>
          </w:tcPr>
          <w:p w14:paraId="724D1752" w14:textId="0FA954EB" w:rsidR="00AA51AE" w:rsidRDefault="00E76C33" w:rsidP="00AA51AE">
            <w:pPr>
              <w:jc w:val="both"/>
              <w:cnfStyle w:val="000000000000" w:firstRow="0" w:lastRow="0" w:firstColumn="0" w:lastColumn="0" w:oddVBand="0" w:evenVBand="0" w:oddHBand="0" w:evenHBand="0" w:firstRowFirstColumn="0" w:firstRowLastColumn="0" w:lastRowFirstColumn="0" w:lastRowLastColumn="0"/>
            </w:pPr>
            <w:r>
              <w:t>2-</w:t>
            </w:r>
            <w:r w:rsidR="00F95733">
              <w:t>3</w:t>
            </w:r>
            <w:r>
              <w:t xml:space="preserve"> days</w:t>
            </w:r>
          </w:p>
        </w:tc>
      </w:tr>
      <w:tr w:rsidR="00AA51AE" w14:paraId="68691D36" w14:textId="77777777" w:rsidTr="001227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14:paraId="026A7C1A" w14:textId="18EE4D66" w:rsidR="00AA51AE" w:rsidRDefault="00E76C33" w:rsidP="00AA51AE">
            <w:pPr>
              <w:jc w:val="both"/>
            </w:pPr>
            <w:r>
              <w:t>5</w:t>
            </w:r>
          </w:p>
        </w:tc>
        <w:tc>
          <w:tcPr>
            <w:tcW w:w="4962" w:type="dxa"/>
          </w:tcPr>
          <w:p w14:paraId="4A27988F" w14:textId="26030080" w:rsidR="00AA51AE" w:rsidRDefault="00E76C33" w:rsidP="00AA51AE">
            <w:pPr>
              <w:jc w:val="both"/>
              <w:cnfStyle w:val="000000100000" w:firstRow="0" w:lastRow="0" w:firstColumn="0" w:lastColumn="0" w:oddVBand="0" w:evenVBand="0" w:oddHBand="1" w:evenHBand="0" w:firstRowFirstColumn="0" w:firstRowLastColumn="0" w:lastRowFirstColumn="0" w:lastRowLastColumn="0"/>
            </w:pPr>
            <w:r>
              <w:t>Incorporation of feedback from rollout, final edits and production of recommendations to NPA for sustained use and uptake of new resources</w:t>
            </w:r>
          </w:p>
        </w:tc>
        <w:tc>
          <w:tcPr>
            <w:tcW w:w="3117" w:type="dxa"/>
          </w:tcPr>
          <w:p w14:paraId="6C1478BF" w14:textId="3666C44E" w:rsidR="00AA51AE" w:rsidRDefault="00E76C33" w:rsidP="00AA51AE">
            <w:pPr>
              <w:jc w:val="both"/>
              <w:cnfStyle w:val="000000100000" w:firstRow="0" w:lastRow="0" w:firstColumn="0" w:lastColumn="0" w:oddVBand="0" w:evenVBand="0" w:oddHBand="1" w:evenHBand="0" w:firstRowFirstColumn="0" w:firstRowLastColumn="0" w:lastRowFirstColumn="0" w:lastRowLastColumn="0"/>
            </w:pPr>
            <w:r>
              <w:t>1-2 days</w:t>
            </w:r>
          </w:p>
        </w:tc>
      </w:tr>
      <w:tr w:rsidR="00AA51AE" w14:paraId="4E230BEA" w14:textId="77777777" w:rsidTr="00122753">
        <w:trPr>
          <w:jc w:val="center"/>
        </w:trPr>
        <w:tc>
          <w:tcPr>
            <w:cnfStyle w:val="001000000000" w:firstRow="0" w:lastRow="0" w:firstColumn="1" w:lastColumn="0" w:oddVBand="0" w:evenVBand="0" w:oddHBand="0" w:evenHBand="0" w:firstRowFirstColumn="0" w:firstRowLastColumn="0" w:lastRowFirstColumn="0" w:lastRowLastColumn="0"/>
            <w:tcW w:w="709" w:type="dxa"/>
          </w:tcPr>
          <w:p w14:paraId="1C799D90" w14:textId="77777777" w:rsidR="00AA51AE" w:rsidRDefault="00AA51AE" w:rsidP="00AA51AE">
            <w:pPr>
              <w:jc w:val="both"/>
            </w:pPr>
          </w:p>
        </w:tc>
        <w:tc>
          <w:tcPr>
            <w:tcW w:w="4962" w:type="dxa"/>
          </w:tcPr>
          <w:p w14:paraId="009E7163" w14:textId="77777777" w:rsidR="00AA51AE" w:rsidRDefault="00AA51AE" w:rsidP="00AA51AE">
            <w:pPr>
              <w:jc w:val="both"/>
              <w:cnfStyle w:val="000000000000" w:firstRow="0" w:lastRow="0" w:firstColumn="0" w:lastColumn="0" w:oddVBand="0" w:evenVBand="0" w:oddHBand="0" w:evenHBand="0" w:firstRowFirstColumn="0" w:firstRowLastColumn="0" w:lastRowFirstColumn="0" w:lastRowLastColumn="0"/>
            </w:pPr>
          </w:p>
        </w:tc>
        <w:tc>
          <w:tcPr>
            <w:tcW w:w="3117" w:type="dxa"/>
          </w:tcPr>
          <w:p w14:paraId="59708ECC" w14:textId="6186EB77" w:rsidR="00AA51AE" w:rsidRDefault="00E76C33" w:rsidP="00AA51AE">
            <w:pPr>
              <w:jc w:val="both"/>
              <w:cnfStyle w:val="000000000000" w:firstRow="0" w:lastRow="0" w:firstColumn="0" w:lastColumn="0" w:oddVBand="0" w:evenVBand="0" w:oddHBand="0" w:evenHBand="0" w:firstRowFirstColumn="0" w:firstRowLastColumn="0" w:lastRowFirstColumn="0" w:lastRowLastColumn="0"/>
            </w:pPr>
            <w:r>
              <w:t>Total: 2</w:t>
            </w:r>
            <w:r w:rsidR="00A13E24">
              <w:t>3</w:t>
            </w:r>
            <w:r>
              <w:t>-3</w:t>
            </w:r>
            <w:r w:rsidR="00A13E24">
              <w:t>1</w:t>
            </w:r>
            <w:r>
              <w:t xml:space="preserve"> working days</w:t>
            </w:r>
          </w:p>
        </w:tc>
      </w:tr>
    </w:tbl>
    <w:p w14:paraId="4E12B5F5" w14:textId="77777777" w:rsidR="00967F8D" w:rsidRDefault="00967F8D" w:rsidP="00AA51AE">
      <w:pPr>
        <w:jc w:val="both"/>
      </w:pPr>
    </w:p>
    <w:p w14:paraId="47B5BA7E" w14:textId="0757CAFB" w:rsidR="0018332F" w:rsidRDefault="0018332F" w:rsidP="00AA51AE">
      <w:pPr>
        <w:jc w:val="both"/>
      </w:pPr>
      <w:r>
        <w:t xml:space="preserve">Deliverables: </w:t>
      </w:r>
    </w:p>
    <w:p w14:paraId="27B20A65" w14:textId="180F18C2" w:rsidR="00122753" w:rsidRDefault="00122753" w:rsidP="00AA51AE">
      <w:pPr>
        <w:pStyle w:val="ListParagraph"/>
        <w:numPr>
          <w:ilvl w:val="0"/>
          <w:numId w:val="3"/>
        </w:numPr>
        <w:jc w:val="both"/>
      </w:pPr>
      <w:r>
        <w:t>Develop a concise guidance note providing an overview of types of evaluations and when to choose them (</w:t>
      </w:r>
      <w:proofErr w:type="spellStart"/>
      <w:r>
        <w:t>ie</w:t>
      </w:r>
      <w:proofErr w:type="spellEnd"/>
      <w:r>
        <w:t xml:space="preserve">. Internal, external, mixed, AAR, etc.) of approximately </w:t>
      </w:r>
      <w:r w:rsidR="0039203A">
        <w:t>2</w:t>
      </w:r>
      <w:r>
        <w:t>-</w:t>
      </w:r>
      <w:r w:rsidR="0039203A">
        <w:t>4</w:t>
      </w:r>
      <w:r>
        <w:t xml:space="preserve"> pages</w:t>
      </w:r>
    </w:p>
    <w:p w14:paraId="09C266FE" w14:textId="3AB8DE4E" w:rsidR="00AA51AE" w:rsidRDefault="00AA51AE" w:rsidP="00AA51AE">
      <w:pPr>
        <w:pStyle w:val="ListParagraph"/>
        <w:numPr>
          <w:ilvl w:val="0"/>
          <w:numId w:val="3"/>
        </w:numPr>
        <w:jc w:val="both"/>
      </w:pPr>
      <w:r>
        <w:t xml:space="preserve">Develop guidance on managing external evaluations (from a technical M&amp;E perspective), including </w:t>
      </w:r>
      <w:r w:rsidR="00122753">
        <w:t xml:space="preserve">tips on </w:t>
      </w:r>
      <w:r>
        <w:t xml:space="preserve">the development of </w:t>
      </w:r>
      <w:proofErr w:type="spellStart"/>
      <w:r>
        <w:t>ToRs</w:t>
      </w:r>
      <w:proofErr w:type="spellEnd"/>
      <w:r w:rsidR="0039203A">
        <w:t xml:space="preserve"> &amp; evaluation questions</w:t>
      </w:r>
      <w:r>
        <w:t xml:space="preserve">, identifying strong </w:t>
      </w:r>
      <w:r w:rsidR="0039203A">
        <w:t>consultants</w:t>
      </w:r>
      <w:r>
        <w:t>, and assessing inception reports/ proposed methodologies</w:t>
      </w:r>
      <w:r w:rsidR="00122753">
        <w:t>,</w:t>
      </w:r>
      <w:r w:rsidR="0039203A">
        <w:t xml:space="preserve"> and 1 checklist tool. The guidance note will be</w:t>
      </w:r>
      <w:r w:rsidR="00122753">
        <w:t xml:space="preserve"> approximately 5 </w:t>
      </w:r>
      <w:proofErr w:type="gramStart"/>
      <w:r w:rsidR="00122753">
        <w:t>pages</w:t>
      </w:r>
      <w:proofErr w:type="gramEnd"/>
      <w:r w:rsidR="0039203A">
        <w:t xml:space="preserve"> and the checklist tool should be no more than 2 pages</w:t>
      </w:r>
    </w:p>
    <w:p w14:paraId="01F5C431" w14:textId="2690928F" w:rsidR="00AA51AE" w:rsidRDefault="00AA51AE" w:rsidP="00AA51AE">
      <w:pPr>
        <w:pStyle w:val="ListParagraph"/>
        <w:numPr>
          <w:ilvl w:val="0"/>
          <w:numId w:val="3"/>
        </w:numPr>
        <w:jc w:val="both"/>
      </w:pPr>
      <w:r>
        <w:t>Develop guidance and a toolkit on conducting internal AARs/ internal reflection processes</w:t>
      </w:r>
      <w:r w:rsidR="00122753">
        <w:t xml:space="preserve">, of approximately </w:t>
      </w:r>
      <w:r w:rsidR="00C63D47">
        <w:t>5-7</w:t>
      </w:r>
      <w:r w:rsidR="00122753">
        <w:t xml:space="preserve"> pages</w:t>
      </w:r>
    </w:p>
    <w:p w14:paraId="4C743BD4" w14:textId="39EB1B5B" w:rsidR="00AA51AE" w:rsidRDefault="00122753" w:rsidP="00AA51AE">
      <w:pPr>
        <w:pStyle w:val="ListParagraph"/>
        <w:numPr>
          <w:ilvl w:val="0"/>
          <w:numId w:val="3"/>
        </w:numPr>
        <w:jc w:val="both"/>
      </w:pPr>
      <w:r>
        <w:t xml:space="preserve">Rollout toolkits remotely using interactive </w:t>
      </w:r>
      <w:r w:rsidR="0039203A">
        <w:t>workshops</w:t>
      </w:r>
      <w:r>
        <w:t xml:space="preserve"> </w:t>
      </w:r>
      <w:r w:rsidR="0039203A">
        <w:t xml:space="preserve">with key NPA stakeholders.  Approximately 3 workshops, including a </w:t>
      </w:r>
      <w:proofErr w:type="spellStart"/>
      <w:r w:rsidR="0039203A">
        <w:t>ToT</w:t>
      </w:r>
      <w:proofErr w:type="spellEnd"/>
      <w:r w:rsidR="0039203A">
        <w:t xml:space="preserve"> with M&amp;E colleagues</w:t>
      </w:r>
    </w:p>
    <w:p w14:paraId="2B342028" w14:textId="77777777" w:rsidR="00AA51AE" w:rsidRDefault="00AA51AE" w:rsidP="00AA51AE">
      <w:pPr>
        <w:jc w:val="both"/>
      </w:pPr>
    </w:p>
    <w:p w14:paraId="1B8B8146" w14:textId="699A9969" w:rsidR="00086087" w:rsidRDefault="00086087" w:rsidP="00AA51AE">
      <w:pPr>
        <w:jc w:val="both"/>
      </w:pPr>
      <w:r>
        <w:t xml:space="preserve">Key </w:t>
      </w:r>
      <w:r w:rsidR="00C6711E">
        <w:t>competencies</w:t>
      </w:r>
      <w:r>
        <w:t xml:space="preserve"> of the consultant:</w:t>
      </w:r>
    </w:p>
    <w:p w14:paraId="490B1A09" w14:textId="4A10D1E0" w:rsidR="00086087" w:rsidRDefault="004A58EB" w:rsidP="00086087">
      <w:pPr>
        <w:pStyle w:val="ListParagraph"/>
        <w:numPr>
          <w:ilvl w:val="0"/>
          <w:numId w:val="6"/>
        </w:numPr>
        <w:jc w:val="both"/>
      </w:pPr>
      <w:r>
        <w:t>Proven experience with programme evaluation and development of evaluation tools.</w:t>
      </w:r>
    </w:p>
    <w:p w14:paraId="615BE045" w14:textId="64A158E9" w:rsidR="004A58EB" w:rsidRDefault="00D35CFE" w:rsidP="00086087">
      <w:pPr>
        <w:pStyle w:val="ListParagraph"/>
        <w:numPr>
          <w:ilvl w:val="0"/>
          <w:numId w:val="6"/>
        </w:numPr>
        <w:jc w:val="both"/>
      </w:pPr>
      <w:r>
        <w:t>Experience from international cooperation and preferably with civil society work</w:t>
      </w:r>
    </w:p>
    <w:p w14:paraId="5C2927DB" w14:textId="6100B987" w:rsidR="00D35CFE" w:rsidRDefault="001E5490" w:rsidP="00086087">
      <w:pPr>
        <w:pStyle w:val="ListParagraph"/>
        <w:numPr>
          <w:ilvl w:val="0"/>
          <w:numId w:val="6"/>
        </w:numPr>
        <w:jc w:val="both"/>
      </w:pPr>
      <w:r>
        <w:t>Good communication skills in English</w:t>
      </w:r>
    </w:p>
    <w:p w14:paraId="37B5BEF6" w14:textId="77777777" w:rsidR="008457A6" w:rsidRDefault="008457A6" w:rsidP="008457A6">
      <w:pPr>
        <w:jc w:val="both"/>
      </w:pPr>
    </w:p>
    <w:p w14:paraId="1721B053" w14:textId="3D316172" w:rsidR="008457A6" w:rsidRDefault="00C30E7D" w:rsidP="008457A6">
      <w:pPr>
        <w:jc w:val="both"/>
      </w:pPr>
      <w:r>
        <w:t>Budget and requirements:</w:t>
      </w:r>
    </w:p>
    <w:p w14:paraId="43DB81EB" w14:textId="49B0A3EB" w:rsidR="00C30E7D" w:rsidRDefault="00C30E7D" w:rsidP="008457A6">
      <w:pPr>
        <w:jc w:val="both"/>
      </w:pPr>
      <w:r>
        <w:t>The consultancy has a budget frame of NOK 100</w:t>
      </w:r>
      <w:r w:rsidR="00C015B5">
        <w:t> </w:t>
      </w:r>
      <w:r>
        <w:t>000</w:t>
      </w:r>
      <w:r w:rsidR="00C015B5">
        <w:t xml:space="preserve">. </w:t>
      </w:r>
    </w:p>
    <w:p w14:paraId="4CD34D5E" w14:textId="1EAA6274" w:rsidR="00952B35" w:rsidRDefault="000F2706" w:rsidP="008457A6">
      <w:pPr>
        <w:jc w:val="both"/>
      </w:pPr>
      <w:r>
        <w:t xml:space="preserve">Please send a proposal including </w:t>
      </w:r>
      <w:r w:rsidR="00FD35CF">
        <w:t xml:space="preserve">budget, </w:t>
      </w:r>
      <w:r w:rsidR="00E94EDA">
        <w:t xml:space="preserve">timeline, brief </w:t>
      </w:r>
      <w:r w:rsidR="00FD35CF">
        <w:t>outline of the understanding of the task, CV and description of relevant experience.</w:t>
      </w:r>
    </w:p>
    <w:p w14:paraId="02372D57" w14:textId="5F7E968A" w:rsidR="00C015B5" w:rsidRDefault="002716CE" w:rsidP="008457A6">
      <w:pPr>
        <w:jc w:val="both"/>
      </w:pPr>
      <w:r w:rsidRPr="002716CE">
        <w:rPr>
          <w:lang w:val="en-GB"/>
        </w:rPr>
        <w:t>Proposals will only be considered if received by email to</w:t>
      </w:r>
      <w:r w:rsidRPr="002716CE">
        <w:rPr>
          <w:b/>
          <w:bCs/>
          <w:lang w:val="en-GB"/>
        </w:rPr>
        <w:t> </w:t>
      </w:r>
      <w:hyperlink r:id="rId11" w:tgtFrame="_blank" w:history="1">
        <w:r w:rsidRPr="002716CE">
          <w:rPr>
            <w:rStyle w:val="Hyperlink"/>
            <w:b/>
            <w:bCs/>
            <w:lang w:val="en-GB"/>
          </w:rPr>
          <w:t>tenders@npaid.org</w:t>
        </w:r>
      </w:hyperlink>
      <w:r w:rsidRPr="002716CE">
        <w:rPr>
          <w:b/>
          <w:bCs/>
          <w:lang w:val="en-GB"/>
        </w:rPr>
        <w:t> </w:t>
      </w:r>
      <w:r w:rsidRPr="002716CE">
        <w:rPr>
          <w:lang w:val="en-GB"/>
        </w:rPr>
        <w:t>with the subject “Evaluation guidelines” on or before </w:t>
      </w:r>
      <w:r w:rsidRPr="00952B35">
        <w:rPr>
          <w:b/>
          <w:bCs/>
          <w:lang w:val="en-GB"/>
        </w:rPr>
        <w:t>17</w:t>
      </w:r>
      <w:r w:rsidRPr="00952B35">
        <w:rPr>
          <w:b/>
          <w:bCs/>
          <w:vertAlign w:val="superscript"/>
          <w:lang w:val="en-GB"/>
        </w:rPr>
        <w:t>th</w:t>
      </w:r>
      <w:r w:rsidRPr="00952B35">
        <w:rPr>
          <w:b/>
          <w:bCs/>
          <w:lang w:val="en-GB"/>
        </w:rPr>
        <w:t> November 2025 at 4.00 PM CET time</w:t>
      </w:r>
      <w:r w:rsidRPr="002716CE">
        <w:rPr>
          <w:lang w:val="en-GB"/>
        </w:rPr>
        <w:t>. Any applications submitted after this date and time will not be considered.   </w:t>
      </w:r>
      <w:r w:rsidRPr="002716CE">
        <w:t> </w:t>
      </w:r>
    </w:p>
    <w:p w14:paraId="316D0D63" w14:textId="77777777" w:rsidR="00C30E7D" w:rsidRDefault="00C30E7D" w:rsidP="008457A6">
      <w:pPr>
        <w:jc w:val="both"/>
      </w:pPr>
    </w:p>
    <w:p w14:paraId="060CE27A" w14:textId="77777777" w:rsidR="008457A6" w:rsidRPr="00FC7935" w:rsidRDefault="008457A6" w:rsidP="008457A6">
      <w:pPr>
        <w:jc w:val="both"/>
      </w:pPr>
    </w:p>
    <w:sectPr w:rsidR="008457A6" w:rsidRPr="00FC7935">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3B11B" w14:textId="77777777" w:rsidR="00690C41" w:rsidRDefault="00690C41" w:rsidP="0062585F">
      <w:pPr>
        <w:spacing w:after="0" w:line="240" w:lineRule="auto"/>
      </w:pPr>
      <w:r>
        <w:separator/>
      </w:r>
    </w:p>
  </w:endnote>
  <w:endnote w:type="continuationSeparator" w:id="0">
    <w:p w14:paraId="3279AA51" w14:textId="77777777" w:rsidR="00690C41" w:rsidRDefault="00690C41" w:rsidP="00625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CEDA3" w14:textId="77777777" w:rsidR="00690C41" w:rsidRDefault="00690C41" w:rsidP="0062585F">
      <w:pPr>
        <w:spacing w:after="0" w:line="240" w:lineRule="auto"/>
      </w:pPr>
      <w:r>
        <w:separator/>
      </w:r>
    </w:p>
  </w:footnote>
  <w:footnote w:type="continuationSeparator" w:id="0">
    <w:p w14:paraId="19975BD5" w14:textId="77777777" w:rsidR="00690C41" w:rsidRDefault="00690C41" w:rsidP="00625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517D" w14:textId="3468D00C" w:rsidR="0062585F" w:rsidRDefault="0062585F">
    <w:pPr>
      <w:pStyle w:val="Header"/>
    </w:pPr>
    <w:r w:rsidRPr="00F6555A">
      <w:rPr>
        <w:noProof/>
        <w:lang w:val="nb-NO" w:eastAsia="nb-NO"/>
      </w:rPr>
      <w:drawing>
        <wp:inline distT="0" distB="0" distL="0" distR="0" wp14:anchorId="34022C29" wp14:editId="5264E587">
          <wp:extent cx="1999268" cy="468172"/>
          <wp:effectExtent l="0" t="0" r="1270" b="8255"/>
          <wp:docPr id="126847752" name="Picture 126847752" descr="C:\Users\beatet\AppData\Local\Microsoft\Windows\Temporary Internet Files\Content.IE5\CVD3272T\Norwegian People's Ai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atet\AppData\Local\Microsoft\Windows\Temporary Internet Files\Content.IE5\CVD3272T\Norwegian People's Ai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3188" cy="5182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919EE"/>
    <w:multiLevelType w:val="hybridMultilevel"/>
    <w:tmpl w:val="D020F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302659"/>
    <w:multiLevelType w:val="hybridMultilevel"/>
    <w:tmpl w:val="5944D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C001A1"/>
    <w:multiLevelType w:val="hybridMultilevel"/>
    <w:tmpl w:val="268E6FF0"/>
    <w:lvl w:ilvl="0" w:tplc="921223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353476"/>
    <w:multiLevelType w:val="hybridMultilevel"/>
    <w:tmpl w:val="06D20B98"/>
    <w:lvl w:ilvl="0" w:tplc="7026F32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ED32D3"/>
    <w:multiLevelType w:val="multilevel"/>
    <w:tmpl w:val="FCB6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4551E8"/>
    <w:multiLevelType w:val="hybridMultilevel"/>
    <w:tmpl w:val="076C2B3E"/>
    <w:lvl w:ilvl="0" w:tplc="1FBA6C6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2082636">
    <w:abstractNumId w:val="2"/>
  </w:num>
  <w:num w:numId="2" w16cid:durableId="559636831">
    <w:abstractNumId w:val="3"/>
  </w:num>
  <w:num w:numId="3" w16cid:durableId="94792572">
    <w:abstractNumId w:val="0"/>
  </w:num>
  <w:num w:numId="4" w16cid:durableId="116341506">
    <w:abstractNumId w:val="1"/>
  </w:num>
  <w:num w:numId="5" w16cid:durableId="667631630">
    <w:abstractNumId w:val="4"/>
  </w:num>
  <w:num w:numId="6" w16cid:durableId="515075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7E"/>
    <w:rsid w:val="000224B2"/>
    <w:rsid w:val="00065C6A"/>
    <w:rsid w:val="000717BD"/>
    <w:rsid w:val="00086087"/>
    <w:rsid w:val="000A1705"/>
    <w:rsid w:val="000F2706"/>
    <w:rsid w:val="00122753"/>
    <w:rsid w:val="00152AD2"/>
    <w:rsid w:val="0018332F"/>
    <w:rsid w:val="001E5490"/>
    <w:rsid w:val="002716CE"/>
    <w:rsid w:val="00285CB4"/>
    <w:rsid w:val="0034722C"/>
    <w:rsid w:val="0038540E"/>
    <w:rsid w:val="0039203A"/>
    <w:rsid w:val="003F77D1"/>
    <w:rsid w:val="004A58EB"/>
    <w:rsid w:val="004E2151"/>
    <w:rsid w:val="00526074"/>
    <w:rsid w:val="005353DB"/>
    <w:rsid w:val="005F099A"/>
    <w:rsid w:val="0062585F"/>
    <w:rsid w:val="00690C41"/>
    <w:rsid w:val="00691126"/>
    <w:rsid w:val="007417A8"/>
    <w:rsid w:val="00747B44"/>
    <w:rsid w:val="00751F9D"/>
    <w:rsid w:val="007B4726"/>
    <w:rsid w:val="007B59EE"/>
    <w:rsid w:val="007F1963"/>
    <w:rsid w:val="008457A6"/>
    <w:rsid w:val="00852E55"/>
    <w:rsid w:val="008A18DF"/>
    <w:rsid w:val="008B7A7E"/>
    <w:rsid w:val="00952B35"/>
    <w:rsid w:val="00967F8D"/>
    <w:rsid w:val="00981EA5"/>
    <w:rsid w:val="009B7C12"/>
    <w:rsid w:val="009E438A"/>
    <w:rsid w:val="00A1389F"/>
    <w:rsid w:val="00A13E24"/>
    <w:rsid w:val="00A90342"/>
    <w:rsid w:val="00AA51AE"/>
    <w:rsid w:val="00B16F2B"/>
    <w:rsid w:val="00C015B5"/>
    <w:rsid w:val="00C30E7D"/>
    <w:rsid w:val="00C63D47"/>
    <w:rsid w:val="00C6711E"/>
    <w:rsid w:val="00D17E6D"/>
    <w:rsid w:val="00D250ED"/>
    <w:rsid w:val="00D35CFE"/>
    <w:rsid w:val="00D716D0"/>
    <w:rsid w:val="00D950FB"/>
    <w:rsid w:val="00E32D0F"/>
    <w:rsid w:val="00E54B75"/>
    <w:rsid w:val="00E724B2"/>
    <w:rsid w:val="00E76C33"/>
    <w:rsid w:val="00E910D6"/>
    <w:rsid w:val="00E94EDA"/>
    <w:rsid w:val="00EE5BCE"/>
    <w:rsid w:val="00F21452"/>
    <w:rsid w:val="00F35375"/>
    <w:rsid w:val="00F95733"/>
    <w:rsid w:val="00FC7935"/>
    <w:rsid w:val="00FD35CF"/>
    <w:rsid w:val="00FE09C2"/>
    <w:rsid w:val="00FF2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61FC"/>
  <w15:chartTrackingRefBased/>
  <w15:docId w15:val="{12B0F804-5CD8-42A3-B5D1-8E9F92A0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935"/>
    <w:pPr>
      <w:ind w:left="720"/>
      <w:contextualSpacing/>
    </w:pPr>
  </w:style>
  <w:style w:type="table" w:styleId="TableGrid">
    <w:name w:val="Table Grid"/>
    <w:basedOn w:val="TableNormal"/>
    <w:uiPriority w:val="39"/>
    <w:rsid w:val="00AA5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A51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6">
    <w:name w:val="Grid Table 4 Accent 6"/>
    <w:basedOn w:val="TableNormal"/>
    <w:uiPriority w:val="49"/>
    <w:rsid w:val="00AA51A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625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85F"/>
  </w:style>
  <w:style w:type="paragraph" w:styleId="Footer">
    <w:name w:val="footer"/>
    <w:basedOn w:val="Normal"/>
    <w:link w:val="FooterChar"/>
    <w:uiPriority w:val="99"/>
    <w:unhideWhenUsed/>
    <w:rsid w:val="00625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85F"/>
  </w:style>
  <w:style w:type="character" w:styleId="Hyperlink">
    <w:name w:val="Hyperlink"/>
    <w:basedOn w:val="DefaultParagraphFont"/>
    <w:uiPriority w:val="99"/>
    <w:unhideWhenUsed/>
    <w:rsid w:val="002716CE"/>
    <w:rPr>
      <w:color w:val="0563C1" w:themeColor="hyperlink"/>
      <w:u w:val="single"/>
    </w:rPr>
  </w:style>
  <w:style w:type="character" w:styleId="UnresolvedMention">
    <w:name w:val="Unresolved Mention"/>
    <w:basedOn w:val="DefaultParagraphFont"/>
    <w:uiPriority w:val="99"/>
    <w:semiHidden/>
    <w:unhideWhenUsed/>
    <w:rsid w:val="00271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npaid.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bb6fba-0ae9-43d9-8da6-78ad76b62518">
      <Terms xmlns="http://schemas.microsoft.com/office/infopath/2007/PartnerControls"/>
    </lcf76f155ced4ddcb4097134ff3c332f>
    <TaxCatchAll xmlns="729437f7-5cf8-4ba1-b417-1154ceee442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04F33122E9C34B8D6EA9DD1CF59A44" ma:contentTypeVersion="17" ma:contentTypeDescription="Create a new document." ma:contentTypeScope="" ma:versionID="ef3ec331fdba85eecac674cbc612da9d">
  <xsd:schema xmlns:xsd="http://www.w3.org/2001/XMLSchema" xmlns:xs="http://www.w3.org/2001/XMLSchema" xmlns:p="http://schemas.microsoft.com/office/2006/metadata/properties" xmlns:ns2="6bbb6fba-0ae9-43d9-8da6-78ad76b62518" xmlns:ns3="729437f7-5cf8-4ba1-b417-1154ceee442d" xmlns:ns4="cb03b9f2-b781-434d-9a19-81d803cb1f58" targetNamespace="http://schemas.microsoft.com/office/2006/metadata/properties" ma:root="true" ma:fieldsID="9e09c93098cc0c7548351297e7f2fe30" ns2:_="" ns3:_="" ns4:_="">
    <xsd:import namespace="6bbb6fba-0ae9-43d9-8da6-78ad76b62518"/>
    <xsd:import namespace="729437f7-5cf8-4ba1-b417-1154ceee442d"/>
    <xsd:import namespace="cb03b9f2-b781-434d-9a19-81d803cb1f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b6fba-0ae9-43d9-8da6-78ad76b62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3062cb-a56e-478b-b69f-a45acc36db1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437f7-5cf8-4ba1-b417-1154ceee442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ce233d1-8b47-4b68-893e-bdfb86dd8bdf}" ma:internalName="TaxCatchAll" ma:showField="CatchAllData" ma:web="cb03b9f2-b781-434d-9a19-81d803cb1f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3b9f2-b781-434d-9a19-81d803cb1f5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23062cb-a56e-478b-b69f-a45acc36db13" ContentTypeId="0x0101" PreviousValue="false"/>
</file>

<file path=customXml/itemProps1.xml><?xml version="1.0" encoding="utf-8"?>
<ds:datastoreItem xmlns:ds="http://schemas.openxmlformats.org/officeDocument/2006/customXml" ds:itemID="{F7145332-D301-425A-B0F2-00F21FA04A61}">
  <ds:schemaRefs>
    <ds:schemaRef ds:uri="http://schemas.microsoft.com/sharepoint/v3/contenttype/forms"/>
  </ds:schemaRefs>
</ds:datastoreItem>
</file>

<file path=customXml/itemProps2.xml><?xml version="1.0" encoding="utf-8"?>
<ds:datastoreItem xmlns:ds="http://schemas.openxmlformats.org/officeDocument/2006/customXml" ds:itemID="{F34A08D6-E69F-4F98-A41B-A1DAB860A0BB}">
  <ds:schemaRefs>
    <ds:schemaRef ds:uri="http://schemas.microsoft.com/office/2006/metadata/properties"/>
    <ds:schemaRef ds:uri="http://schemas.microsoft.com/office/infopath/2007/PartnerControls"/>
    <ds:schemaRef ds:uri="6bbb6fba-0ae9-43d9-8da6-78ad76b62518"/>
    <ds:schemaRef ds:uri="729437f7-5cf8-4ba1-b417-1154ceee442d"/>
  </ds:schemaRefs>
</ds:datastoreItem>
</file>

<file path=customXml/itemProps3.xml><?xml version="1.0" encoding="utf-8"?>
<ds:datastoreItem xmlns:ds="http://schemas.openxmlformats.org/officeDocument/2006/customXml" ds:itemID="{4B3F53D7-C685-405D-9A8F-14C9C91C1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b6fba-0ae9-43d9-8da6-78ad76b62518"/>
    <ds:schemaRef ds:uri="729437f7-5cf8-4ba1-b417-1154ceee442d"/>
    <ds:schemaRef ds:uri="cb03b9f2-b781-434d-9a19-81d803cb1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2C2016-46CD-4583-9804-6CE45B19B94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3</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Norwegian Peoples AID</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Adalei Broers</dc:creator>
  <cp:keywords/>
  <dc:description/>
  <cp:lastModifiedBy>Beate Thoresen</cp:lastModifiedBy>
  <cp:revision>26</cp:revision>
  <dcterms:created xsi:type="dcterms:W3CDTF">2025-11-06T10:25:00Z</dcterms:created>
  <dcterms:modified xsi:type="dcterms:W3CDTF">2025-11-07T12:48:00Z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0x0101009604F33122E9C34B8D6EA9DD1CF59A44</vt:lpwstr>
  </property>
  <property fmtid="{D5CDD505-2E9C-101B-9397-08002B2CF9AE}" pid="3" name="MediaServiceImageTags">
    <vt:lpwstr/>
  </property>
</Properties>
</file>